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A438" w14:textId="0E5B4A8B" w:rsidR="00E442FF" w:rsidRPr="00BA6A16" w:rsidRDefault="00E442FF" w:rsidP="00E442FF">
      <w:pPr>
        <w:spacing w:after="0" w:line="276" w:lineRule="auto"/>
        <w:jc w:val="right"/>
        <w:rPr>
          <w:rFonts w:cstheme="minorHAnsi"/>
        </w:rPr>
      </w:pPr>
      <w:r w:rsidRPr="00BA6A16">
        <w:rPr>
          <w:rFonts w:cstheme="minorHAnsi"/>
        </w:rPr>
        <w:t xml:space="preserve">Golub – Dobrzyń, </w:t>
      </w:r>
      <w:r>
        <w:rPr>
          <w:rFonts w:cstheme="minorHAnsi"/>
        </w:rPr>
        <w:t>2023-02-13</w:t>
      </w:r>
    </w:p>
    <w:p w14:paraId="1200B392" w14:textId="012E4468" w:rsidR="00E442FF" w:rsidRPr="00BA6A16" w:rsidRDefault="00E442FF" w:rsidP="00590262">
      <w:pPr>
        <w:spacing w:after="0" w:line="276" w:lineRule="auto"/>
        <w:rPr>
          <w:rFonts w:cstheme="minorHAnsi"/>
        </w:rPr>
      </w:pPr>
      <w:r w:rsidRPr="00BA6A16">
        <w:rPr>
          <w:rFonts w:cstheme="minorHAnsi"/>
        </w:rPr>
        <w:t>GGR.6220.</w:t>
      </w:r>
      <w:r>
        <w:rPr>
          <w:rFonts w:cstheme="minorHAnsi"/>
        </w:rPr>
        <w:t>2.5.2023</w:t>
      </w:r>
    </w:p>
    <w:p w14:paraId="3FF593B9" w14:textId="77777777" w:rsidR="00E442FF" w:rsidRPr="00BA6A16" w:rsidRDefault="00E442FF" w:rsidP="00E442FF">
      <w:pPr>
        <w:spacing w:after="0" w:line="360" w:lineRule="auto"/>
        <w:jc w:val="center"/>
        <w:rPr>
          <w:rFonts w:cstheme="minorHAnsi"/>
          <w:b/>
        </w:rPr>
      </w:pPr>
      <w:r w:rsidRPr="00BA6A16">
        <w:rPr>
          <w:rFonts w:cstheme="minorHAnsi"/>
          <w:b/>
        </w:rPr>
        <w:t>OBWIESZCZENIE</w:t>
      </w:r>
    </w:p>
    <w:p w14:paraId="4B30F613" w14:textId="77777777" w:rsidR="00E442FF" w:rsidRPr="00BA6A16" w:rsidRDefault="00E442FF" w:rsidP="00E442FF">
      <w:pPr>
        <w:spacing w:after="0" w:line="360" w:lineRule="auto"/>
        <w:jc w:val="center"/>
        <w:rPr>
          <w:rFonts w:cstheme="minorHAnsi"/>
          <w:b/>
        </w:rPr>
      </w:pPr>
      <w:r w:rsidRPr="00BA6A16">
        <w:rPr>
          <w:rFonts w:cstheme="minorHAnsi"/>
          <w:b/>
        </w:rPr>
        <w:t xml:space="preserve">Wójta Gminy Golub – Dobrzyń </w:t>
      </w:r>
    </w:p>
    <w:p w14:paraId="305D16E3" w14:textId="77777777" w:rsidR="00E442FF" w:rsidRPr="00BA6A16" w:rsidRDefault="00E442FF" w:rsidP="00E442FF">
      <w:pPr>
        <w:spacing w:after="0" w:line="360" w:lineRule="auto"/>
        <w:jc w:val="center"/>
        <w:rPr>
          <w:rFonts w:cstheme="minorHAnsi"/>
          <w:b/>
        </w:rPr>
      </w:pPr>
    </w:p>
    <w:p w14:paraId="7E43D016" w14:textId="02F100B0" w:rsidR="00E442FF" w:rsidRPr="00BA6A16" w:rsidRDefault="00E442FF" w:rsidP="00E442FF">
      <w:pPr>
        <w:spacing w:after="0" w:line="360" w:lineRule="auto"/>
        <w:ind w:firstLine="708"/>
        <w:jc w:val="both"/>
        <w:rPr>
          <w:rFonts w:cstheme="minorHAnsi"/>
        </w:rPr>
      </w:pPr>
      <w:r w:rsidRPr="00BA6A16">
        <w:rPr>
          <w:rFonts w:cstheme="minorHAnsi"/>
        </w:rPr>
        <w:t>Na podstawie art. 49 ustawy z dnia 14 czerwca 1960 r. Kodeks postępowania administracyjnego (Dz.U. z 202</w:t>
      </w:r>
      <w:r>
        <w:rPr>
          <w:rFonts w:cstheme="minorHAnsi"/>
        </w:rPr>
        <w:t>2</w:t>
      </w:r>
      <w:r w:rsidRPr="00BA6A16">
        <w:rPr>
          <w:rFonts w:cstheme="minorHAnsi"/>
        </w:rPr>
        <w:t xml:space="preserve"> r., poz. </w:t>
      </w:r>
      <w:r>
        <w:rPr>
          <w:rFonts w:cstheme="minorHAnsi"/>
        </w:rPr>
        <w:t>2000</w:t>
      </w:r>
      <w:r w:rsidRPr="00BA6A16">
        <w:rPr>
          <w:rFonts w:cstheme="minorHAnsi"/>
        </w:rPr>
        <w:t xml:space="preserve"> z późn. zm.), w związku z art. 74 ust. 3 ustawy z dnia 3 października 2008 r. o udostępnianiu informacji o środowisku i jego ochronie, udziale społeczeństwa w ochronie środowiska oraz ocenach oddziaływania na środowisko (Dz. U. z 202</w:t>
      </w:r>
      <w:r>
        <w:rPr>
          <w:rFonts w:cstheme="minorHAnsi"/>
        </w:rPr>
        <w:t>2</w:t>
      </w:r>
      <w:r w:rsidRPr="00BA6A16">
        <w:rPr>
          <w:rFonts w:cstheme="minorHAnsi"/>
        </w:rPr>
        <w:t xml:space="preserve"> r., poz. </w:t>
      </w:r>
      <w:r>
        <w:rPr>
          <w:rFonts w:cstheme="minorHAnsi"/>
        </w:rPr>
        <w:t>1029</w:t>
      </w:r>
      <w:r w:rsidRPr="00BA6A16">
        <w:rPr>
          <w:rFonts w:cstheme="minorHAnsi"/>
        </w:rPr>
        <w:t xml:space="preserve"> z późn. zm.), Wójt Gminy Golub – Dobrzyń</w:t>
      </w:r>
    </w:p>
    <w:p w14:paraId="0A92E317" w14:textId="77777777" w:rsidR="00E442FF" w:rsidRPr="00BA6A16" w:rsidRDefault="00E442FF" w:rsidP="00E442FF">
      <w:pPr>
        <w:spacing w:after="0" w:line="360" w:lineRule="auto"/>
        <w:jc w:val="center"/>
        <w:rPr>
          <w:rFonts w:cstheme="minorHAnsi"/>
          <w:b/>
        </w:rPr>
      </w:pPr>
      <w:r w:rsidRPr="00BA6A16">
        <w:rPr>
          <w:rFonts w:cstheme="minorHAnsi"/>
          <w:b/>
        </w:rPr>
        <w:t>zawiadamia Strony</w:t>
      </w:r>
    </w:p>
    <w:p w14:paraId="401EB003" w14:textId="14921AFD" w:rsidR="00E442FF" w:rsidRPr="00BA6A16" w:rsidRDefault="00E442FF" w:rsidP="00E442FF">
      <w:pPr>
        <w:spacing w:after="0" w:line="360" w:lineRule="auto"/>
        <w:jc w:val="both"/>
        <w:rPr>
          <w:rFonts w:cstheme="minorHAnsi"/>
        </w:rPr>
      </w:pPr>
      <w:r w:rsidRPr="00BA6A16">
        <w:rPr>
          <w:rFonts w:cstheme="minorHAnsi"/>
        </w:rPr>
        <w:t xml:space="preserve">- o wydanej opinii </w:t>
      </w:r>
      <w:r>
        <w:rPr>
          <w:rFonts w:cstheme="minorHAnsi"/>
        </w:rPr>
        <w:t>Regionalnego Dyrektora Ochrony Środowiska</w:t>
      </w:r>
      <w:r w:rsidRPr="00BA6A16">
        <w:rPr>
          <w:rFonts w:cstheme="minorHAnsi"/>
        </w:rPr>
        <w:t xml:space="preserve"> </w:t>
      </w:r>
      <w:r w:rsidRPr="00E442FF">
        <w:rPr>
          <w:rFonts w:cstheme="minorHAnsi"/>
        </w:rPr>
        <w:t>WOO.4220.93.2023.AG1.2</w:t>
      </w:r>
      <w:r>
        <w:rPr>
          <w:rFonts w:cstheme="minorHAnsi"/>
        </w:rPr>
        <w:t xml:space="preserve"> </w:t>
      </w:r>
      <w:r w:rsidRPr="00BA6A16">
        <w:rPr>
          <w:rFonts w:cstheme="minorHAnsi"/>
        </w:rPr>
        <w:t xml:space="preserve">z dnia </w:t>
      </w:r>
      <w:r>
        <w:rPr>
          <w:rFonts w:cstheme="minorHAnsi"/>
        </w:rPr>
        <w:t>10</w:t>
      </w:r>
      <w:r w:rsidRPr="00BA6A16">
        <w:rPr>
          <w:rFonts w:cstheme="minorHAnsi"/>
        </w:rPr>
        <w:t xml:space="preserve"> </w:t>
      </w:r>
      <w:r>
        <w:rPr>
          <w:rFonts w:cstheme="minorHAnsi"/>
        </w:rPr>
        <w:t>lutego 2023</w:t>
      </w:r>
      <w:r w:rsidRPr="00BA6A16">
        <w:rPr>
          <w:rFonts w:cstheme="minorHAnsi"/>
        </w:rPr>
        <w:t xml:space="preserve"> r.</w:t>
      </w:r>
      <w:r>
        <w:rPr>
          <w:rFonts w:cstheme="minorHAnsi"/>
        </w:rPr>
        <w:t xml:space="preserve"> </w:t>
      </w:r>
      <w:r w:rsidRPr="00BA6A16">
        <w:rPr>
          <w:rFonts w:cstheme="minorHAnsi"/>
        </w:rPr>
        <w:t xml:space="preserve">(data wpływu </w:t>
      </w:r>
      <w:r>
        <w:rPr>
          <w:rFonts w:cstheme="minorHAnsi"/>
        </w:rPr>
        <w:t>10.02.2023</w:t>
      </w:r>
      <w:r w:rsidRPr="00BA6A16">
        <w:rPr>
          <w:rFonts w:cstheme="minorHAnsi"/>
        </w:rPr>
        <w:t xml:space="preserve"> r.), w której </w:t>
      </w:r>
      <w:r>
        <w:rPr>
          <w:rFonts w:cstheme="minorHAnsi"/>
        </w:rPr>
        <w:t>instytucja</w:t>
      </w:r>
      <w:r w:rsidRPr="00BA6A16">
        <w:rPr>
          <w:rFonts w:cstheme="minorHAnsi"/>
        </w:rPr>
        <w:t xml:space="preserve"> wyraża </w:t>
      </w:r>
      <w:r>
        <w:rPr>
          <w:rFonts w:cstheme="minorHAnsi"/>
        </w:rPr>
        <w:t>zdanie</w:t>
      </w:r>
      <w:r w:rsidRPr="00BA6A16">
        <w:rPr>
          <w:rFonts w:cstheme="minorHAnsi"/>
        </w:rPr>
        <w:t xml:space="preserve">, iż przedsięwzięcie </w:t>
      </w:r>
      <w:r>
        <w:rPr>
          <w:rFonts w:cstheme="minorHAnsi"/>
        </w:rPr>
        <w:t xml:space="preserve">polegające na </w:t>
      </w:r>
      <w:r w:rsidRPr="00E442FF">
        <w:rPr>
          <w:rFonts w:cstheme="minorHAnsi"/>
          <w14:ligatures w14:val="standardContextual"/>
        </w:rPr>
        <w:t>„Budowie farmy fotowoltaicznej o mocy do 4 MW wraz z niezbędną infrastrukturą techniczną na działce o nr ewidencyjnym 415/2, w obrębie Ostrowite, gmina Golub - Dobrzyń”</w:t>
      </w:r>
      <w:r w:rsidRPr="00BA6A16">
        <w:rPr>
          <w:rFonts w:cstheme="minorHAnsi"/>
        </w:rPr>
        <w:t>, nie wymaga przeprowadzenia oceny oddziaływania na środowisko.</w:t>
      </w:r>
    </w:p>
    <w:p w14:paraId="745347F1" w14:textId="77777777" w:rsidR="00E442FF" w:rsidRPr="00BA6A16" w:rsidRDefault="00E442FF" w:rsidP="00E442FF">
      <w:pPr>
        <w:spacing w:after="0" w:line="360" w:lineRule="auto"/>
        <w:jc w:val="both"/>
        <w:rPr>
          <w:rFonts w:cstheme="minorHAnsi"/>
        </w:rPr>
      </w:pPr>
      <w:r w:rsidRPr="00BA6A16">
        <w:rPr>
          <w:rFonts w:cstheme="minorHAnsi"/>
        </w:rPr>
        <w:t>W związku z powyższym informuję o możliwości zapoznania się osobiście lub przez pełnomocnika z aktami sprawy w siedzibie Urzędu Gminy Golub – Dobrzyń przy ul. Plac 1000 – lecia 25, pok. 2 w godzinach pracy Urzędu tj.  7.30-15.30.</w:t>
      </w:r>
      <w:r w:rsidRPr="00BA6A16">
        <w:rPr>
          <w:rFonts w:cstheme="minorHAnsi"/>
        </w:rPr>
        <w:tab/>
      </w:r>
      <w:r w:rsidRPr="00BA6A16">
        <w:rPr>
          <w:rFonts w:cstheme="minorHAnsi"/>
        </w:rPr>
        <w:tab/>
      </w:r>
      <w:r w:rsidRPr="00BA6A16">
        <w:rPr>
          <w:rFonts w:cstheme="minorHAnsi"/>
        </w:rPr>
        <w:tab/>
      </w:r>
      <w:r w:rsidRPr="00BA6A16">
        <w:rPr>
          <w:rFonts w:cstheme="minorHAnsi"/>
        </w:rPr>
        <w:tab/>
      </w:r>
      <w:r w:rsidRPr="00BA6A16">
        <w:rPr>
          <w:rFonts w:cstheme="minorHAnsi"/>
        </w:rPr>
        <w:tab/>
      </w:r>
      <w:r w:rsidRPr="00BA6A16">
        <w:rPr>
          <w:rFonts w:cstheme="minorHAnsi"/>
        </w:rPr>
        <w:tab/>
      </w:r>
      <w:r w:rsidRPr="00BA6A16">
        <w:rPr>
          <w:rFonts w:cstheme="minorHAnsi"/>
        </w:rPr>
        <w:tab/>
      </w:r>
      <w:r w:rsidRPr="00BA6A16">
        <w:rPr>
          <w:rFonts w:cstheme="minorHAnsi"/>
        </w:rPr>
        <w:tab/>
      </w:r>
    </w:p>
    <w:p w14:paraId="39FBD51F" w14:textId="6702EB32" w:rsidR="00E442FF" w:rsidRDefault="00E442FF" w:rsidP="00E442FF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BA6A16">
        <w:rPr>
          <w:rFonts w:eastAsia="Calibri" w:cstheme="minorHAnsi"/>
        </w:rPr>
        <w:t>W myśl art. 74 ust 3a ustawy z dnia 3 października 2008 roku o udostępnianiu informacji o środowisku i jego ochronie, udziale społeczeństwa w ochronie środowiska oraz o ocenach oddziaływania na środowisko (Dz. U. z 2020 r., poz. 283 z późn. zm.) j</w:t>
      </w:r>
      <w:r w:rsidRPr="00BA6A16">
        <w:rPr>
          <w:rFonts w:ascii="Calibri" w:eastAsia="Calibri" w:hAnsi="Calibri" w:cs="Times New Roman"/>
        </w:rPr>
        <w:t xml:space="preserve">eżeli liczba stron postępowania w sprawie wydania decyzji o środowiskowych uwarunkowaniach lub innego postępowania dotyczącego tej decyzji przekracza 10, stosuje się </w:t>
      </w:r>
      <w:hyperlink r:id="rId5" w:anchor="ap_49" w:tgtFrame="_blank" w:tooltip="USTAWA z dnia 14 czerwca 1960 r. Kodeks postępowania administracyjnego" w:history="1">
        <w:r w:rsidRPr="00BA6A16">
          <w:rPr>
            <w:rFonts w:ascii="Calibri" w:eastAsia="Calibri" w:hAnsi="Calibri" w:cs="Times New Roman"/>
          </w:rPr>
          <w:t>art. 49 Kodeksu postępowania administracyjnego</w:t>
        </w:r>
      </w:hyperlink>
      <w:r w:rsidRPr="00BA6A16">
        <w:rPr>
          <w:rFonts w:ascii="Calibri" w:eastAsia="Calibri" w:hAnsi="Calibri" w:cs="Times New Roman"/>
        </w:rPr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72EE423" w14:textId="3BD0159E" w:rsidR="00E442FF" w:rsidRDefault="00E442FF" w:rsidP="00E442FF">
      <w:pPr>
        <w:spacing w:after="0" w:line="360" w:lineRule="auto"/>
        <w:jc w:val="right"/>
        <w:rPr>
          <w:rFonts w:cstheme="minorHAnsi"/>
          <w:sz w:val="18"/>
          <w:szCs w:val="18"/>
        </w:rPr>
      </w:pPr>
    </w:p>
    <w:p w14:paraId="38DA217F" w14:textId="77777777" w:rsidR="00E442FF" w:rsidRPr="00BA6A16" w:rsidRDefault="00E442FF" w:rsidP="00E442FF">
      <w:pPr>
        <w:spacing w:after="0" w:line="360" w:lineRule="auto"/>
        <w:jc w:val="right"/>
        <w:rPr>
          <w:rFonts w:cstheme="minorHAnsi"/>
          <w:sz w:val="18"/>
          <w:szCs w:val="18"/>
        </w:rPr>
      </w:pPr>
    </w:p>
    <w:p w14:paraId="4AF982FF" w14:textId="77777777" w:rsidR="00B9780B" w:rsidRDefault="00B9780B"/>
    <w:sectPr w:rsidR="00B9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1DB6"/>
    <w:multiLevelType w:val="hybridMultilevel"/>
    <w:tmpl w:val="5C3E49EA"/>
    <w:lvl w:ilvl="0" w:tplc="EED0663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123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FF"/>
    <w:rsid w:val="00590262"/>
    <w:rsid w:val="00B9780B"/>
    <w:rsid w:val="00E35A74"/>
    <w:rsid w:val="00E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9778"/>
  <w15:chartTrackingRefBased/>
  <w15:docId w15:val="{3E1D6915-1FAB-48C9-9411-3264CCDC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2F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02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istracjastandard.inforlex.pl/dok/tresc,DZU.2020.033.0000256,USTAWA-z-dnia-14-czerwca-1960-r-Kodeks-postepowania-administracyjne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cp:lastPrinted>2023-02-13T12:55:00Z</cp:lastPrinted>
  <dcterms:created xsi:type="dcterms:W3CDTF">2023-02-13T13:10:00Z</dcterms:created>
  <dcterms:modified xsi:type="dcterms:W3CDTF">2023-02-13T13:10:00Z</dcterms:modified>
</cp:coreProperties>
</file>